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10DF" w14:textId="77777777" w:rsidR="00A55EC8" w:rsidRDefault="00A55E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CDB330B" w14:textId="77777777" w:rsidR="00A55EC8" w:rsidRDefault="002355E1">
      <w:pP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  <w:highlight w:val="yellow"/>
        </w:rPr>
        <w:t>RESOLUÇÃO/PORTARIA</w:t>
      </w:r>
      <w:r>
        <w:rPr>
          <w:b/>
          <w:color w:val="FF0000"/>
        </w:rPr>
        <w:t xml:space="preserve"> </w:t>
      </w:r>
      <w:r>
        <w:rPr>
          <w:b/>
          <w:highlight w:val="yellow"/>
        </w:rPr>
        <w:t>ÓRGÃO/ENTIDADE</w:t>
      </w:r>
      <w:r>
        <w:rPr>
          <w:b/>
          <w:color w:val="000000"/>
        </w:rPr>
        <w:t xml:space="preserve"> Nº </w:t>
      </w:r>
      <w:proofErr w:type="spellStart"/>
      <w:r>
        <w:rPr>
          <w:b/>
          <w:color w:val="000000"/>
          <w:highlight w:val="yellow"/>
        </w:rPr>
        <w:t>xx</w:t>
      </w:r>
      <w:proofErr w:type="spellEnd"/>
      <w:r>
        <w:rPr>
          <w:b/>
          <w:color w:val="000000"/>
        </w:rPr>
        <w:t xml:space="preserve">, DE </w:t>
      </w:r>
      <w:r>
        <w:rPr>
          <w:b/>
          <w:color w:val="000000"/>
          <w:highlight w:val="yellow"/>
        </w:rPr>
        <w:t xml:space="preserve">dia </w:t>
      </w:r>
      <w:r>
        <w:rPr>
          <w:b/>
          <w:color w:val="000000"/>
        </w:rPr>
        <w:t xml:space="preserve">DE </w:t>
      </w:r>
      <w:r>
        <w:rPr>
          <w:b/>
          <w:color w:val="000000"/>
          <w:highlight w:val="yellow"/>
        </w:rPr>
        <w:t xml:space="preserve">mês </w:t>
      </w:r>
      <w:r>
        <w:rPr>
          <w:b/>
          <w:color w:val="000000"/>
        </w:rPr>
        <w:t xml:space="preserve">DE </w:t>
      </w:r>
      <w:r>
        <w:rPr>
          <w:b/>
          <w:color w:val="000000"/>
          <w:highlight w:val="yellow"/>
        </w:rPr>
        <w:t>ano</w:t>
      </w:r>
      <w:r>
        <w:rPr>
          <w:b/>
          <w:color w:val="000000"/>
        </w:rPr>
        <w:t>.</w:t>
      </w:r>
    </w:p>
    <w:p w14:paraId="00422CE7" w14:textId="77777777" w:rsidR="00A55EC8" w:rsidRDefault="00A55EC8">
      <w:pPr>
        <w:spacing w:after="0" w:line="360" w:lineRule="auto"/>
        <w:jc w:val="both"/>
        <w:rPr>
          <w:color w:val="000000"/>
        </w:rPr>
      </w:pPr>
    </w:p>
    <w:p w14:paraId="05C14FCC" w14:textId="77777777" w:rsidR="00A55EC8" w:rsidRDefault="00A55EC8">
      <w:pPr>
        <w:spacing w:after="0" w:line="360" w:lineRule="auto"/>
        <w:jc w:val="both"/>
        <w:rPr>
          <w:color w:val="000000"/>
        </w:rPr>
      </w:pPr>
    </w:p>
    <w:p w14:paraId="641EE939" w14:textId="77777777" w:rsidR="00A55EC8" w:rsidRDefault="002355E1">
      <w:pPr>
        <w:spacing w:after="0" w:line="360" w:lineRule="auto"/>
        <w:ind w:left="3540"/>
        <w:jc w:val="both"/>
        <w:rPr>
          <w:color w:val="000000"/>
        </w:rPr>
      </w:pPr>
      <w:r>
        <w:rPr>
          <w:color w:val="000000"/>
        </w:rPr>
        <w:t>Dispõe sobre a</w:t>
      </w:r>
      <w:r>
        <w:rPr>
          <w:color w:val="FF0000"/>
        </w:rPr>
        <w:t xml:space="preserve"> </w:t>
      </w:r>
      <w:r>
        <w:t>designação d</w:t>
      </w:r>
      <w:r>
        <w:rPr>
          <w:color w:val="000000"/>
        </w:rPr>
        <w:t xml:space="preserve">a Comissão Permanente de Avaliação de Documentos de Arquivo – CPAD do </w:t>
      </w:r>
      <w:r>
        <w:rPr>
          <w:color w:val="000000"/>
          <w:highlight w:val="yellow"/>
        </w:rPr>
        <w:t>Órgão/Entidade</w:t>
      </w:r>
      <w:r>
        <w:rPr>
          <w:color w:val="FF0000"/>
        </w:rPr>
        <w:t xml:space="preserve"> </w:t>
      </w:r>
      <w:r>
        <w:t>-</w:t>
      </w:r>
      <w:r>
        <w:rPr>
          <w:color w:val="FF0000"/>
        </w:rPr>
        <w:t xml:space="preserve"> </w:t>
      </w:r>
      <w:r>
        <w:rPr>
          <w:highlight w:val="yellow"/>
        </w:rPr>
        <w:t>sigla do órgão/entidade</w:t>
      </w:r>
      <w:r>
        <w:rPr>
          <w:color w:val="000000"/>
        </w:rPr>
        <w:t>.</w:t>
      </w:r>
    </w:p>
    <w:p w14:paraId="10E62D0D" w14:textId="77777777" w:rsidR="00A55EC8" w:rsidRDefault="00A55EC8">
      <w:pPr>
        <w:spacing w:after="0" w:line="360" w:lineRule="auto"/>
        <w:jc w:val="both"/>
        <w:rPr>
          <w:color w:val="000000"/>
        </w:rPr>
      </w:pPr>
    </w:p>
    <w:p w14:paraId="695B0A49" w14:textId="77777777" w:rsidR="00A55EC8" w:rsidRDefault="00A55EC8">
      <w:pPr>
        <w:spacing w:after="0" w:line="360" w:lineRule="auto"/>
        <w:jc w:val="both"/>
        <w:rPr>
          <w:color w:val="000000"/>
        </w:rPr>
      </w:pPr>
    </w:p>
    <w:p w14:paraId="64A6860F" w14:textId="77777777" w:rsidR="00A55EC8" w:rsidRDefault="002355E1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O </w:t>
      </w:r>
      <w:r>
        <w:rPr>
          <w:highlight w:val="yellow"/>
        </w:rPr>
        <w:t>Secretário de Estado/Presidente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do/da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Órgão/Entidade</w:t>
      </w:r>
      <w:r>
        <w:rPr>
          <w:color w:val="000000"/>
        </w:rPr>
        <w:t>,</w:t>
      </w:r>
      <w:r>
        <w:t xml:space="preserve"> </w:t>
      </w:r>
      <w:r>
        <w:rPr>
          <w:color w:val="000000"/>
        </w:rPr>
        <w:t xml:space="preserve">no uso das atribuições legais que lhe conferem o art. 93, </w:t>
      </w:r>
      <w:r>
        <w:t>§ 1º, inciso III</w:t>
      </w:r>
      <w:r>
        <w:rPr>
          <w:color w:val="000000"/>
        </w:rPr>
        <w:t xml:space="preserve"> da Constituição Estadual,</w:t>
      </w:r>
    </w:p>
    <w:p w14:paraId="6371CABC" w14:textId="77777777" w:rsidR="00A55EC8" w:rsidRDefault="00A55EC8">
      <w:pPr>
        <w:spacing w:after="0" w:line="360" w:lineRule="auto"/>
        <w:jc w:val="both"/>
        <w:rPr>
          <w:color w:val="000000"/>
        </w:rPr>
      </w:pPr>
    </w:p>
    <w:p w14:paraId="1F7B6D9C" w14:textId="77777777" w:rsidR="00A55EC8" w:rsidRDefault="002355E1">
      <w:pP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RESOLVE:</w:t>
      </w:r>
    </w:p>
    <w:p w14:paraId="5D28AEF2" w14:textId="77777777" w:rsidR="00A55EC8" w:rsidRDefault="00A55EC8">
      <w:pPr>
        <w:spacing w:after="0" w:line="360" w:lineRule="auto"/>
        <w:jc w:val="both"/>
        <w:rPr>
          <w:color w:val="000000"/>
        </w:rPr>
      </w:pPr>
    </w:p>
    <w:p w14:paraId="7CCC595F" w14:textId="77777777" w:rsidR="00A55EC8" w:rsidRDefault="002355E1">
      <w:pPr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>Art. 1º</w:t>
      </w:r>
      <w:r>
        <w:rPr>
          <w:color w:val="000000"/>
        </w:rPr>
        <w:t xml:space="preserve"> - </w:t>
      </w:r>
      <w:r>
        <w:t>Por este ato, designa-se, no â</w:t>
      </w:r>
      <w:r>
        <w:rPr>
          <w:color w:val="000000"/>
        </w:rPr>
        <w:t xml:space="preserve">mbito </w:t>
      </w:r>
      <w:r>
        <w:rPr>
          <w:color w:val="000000"/>
          <w:highlight w:val="yellow"/>
        </w:rPr>
        <w:t>do/da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Órgão/Entidade</w:t>
      </w:r>
      <w:r>
        <w:rPr>
          <w:color w:val="000000"/>
        </w:rPr>
        <w:t>,  a Comissão Permanente de Avaliação de Documentos de Arquivo</w:t>
      </w:r>
      <w:r>
        <w:rPr>
          <w:color w:val="000000"/>
        </w:rPr>
        <w:t xml:space="preserve"> - CPAD, conforme determina o artigo 12º da Lei Estadual nº 19.420 de 11 de janeiro de 2011, regulamentado pelo artigo 4º, § 2º e artigo 5º, § 1º e 2º do Decreto Estadual nº 46.398/2013.</w:t>
      </w:r>
    </w:p>
    <w:p w14:paraId="468D7B16" w14:textId="77777777" w:rsidR="00A55EC8" w:rsidRDefault="00A55EC8">
      <w:pPr>
        <w:spacing w:after="0" w:line="360" w:lineRule="auto"/>
        <w:jc w:val="both"/>
        <w:rPr>
          <w:b/>
          <w:color w:val="000000"/>
        </w:rPr>
      </w:pPr>
    </w:p>
    <w:p w14:paraId="3CB7D249" w14:textId="77777777" w:rsidR="00A55EC8" w:rsidRDefault="002355E1">
      <w:pPr>
        <w:spacing w:after="0" w:line="360" w:lineRule="auto"/>
        <w:jc w:val="both"/>
      </w:pPr>
      <w:r>
        <w:rPr>
          <w:b/>
        </w:rPr>
        <w:t>Art. 2º</w:t>
      </w:r>
      <w:r>
        <w:t xml:space="preserve"> - A CPAD/</w:t>
      </w:r>
      <w:r>
        <w:rPr>
          <w:highlight w:val="yellow"/>
        </w:rPr>
        <w:t xml:space="preserve">sigla do </w:t>
      </w:r>
      <w:r>
        <w:rPr>
          <w:color w:val="000000"/>
          <w:highlight w:val="yellow"/>
        </w:rPr>
        <w:t>Órgão/Entidade</w:t>
      </w:r>
      <w:r>
        <w:t xml:space="preserve"> será composta pelos servido</w:t>
      </w:r>
      <w:r>
        <w:t>res abaixo relacionados:</w:t>
      </w:r>
    </w:p>
    <w:p w14:paraId="730B0572" w14:textId="77777777" w:rsidR="00A55EC8" w:rsidRDefault="00A55EC8">
      <w:pPr>
        <w:spacing w:after="0" w:line="360" w:lineRule="auto"/>
        <w:jc w:val="both"/>
        <w:rPr>
          <w:highlight w:val="yellow"/>
        </w:rPr>
      </w:pPr>
    </w:p>
    <w:p w14:paraId="08DCD8D5" w14:textId="77777777" w:rsidR="00A55EC8" w:rsidRDefault="002355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851"/>
        </w:tabs>
        <w:spacing w:after="0" w:line="360" w:lineRule="auto"/>
        <w:jc w:val="both"/>
        <w:rPr>
          <w:color w:val="000000"/>
          <w:highlight w:val="yellow"/>
        </w:rPr>
      </w:pPr>
      <w:r>
        <w:rPr>
          <w:highlight w:val="yellow"/>
        </w:rPr>
        <w:t xml:space="preserve">Pelo (a) </w:t>
      </w:r>
      <w:r>
        <w:rPr>
          <w:color w:val="000000"/>
          <w:highlight w:val="yellow"/>
        </w:rPr>
        <w:t>Unidade Administrativa: Nome do serv</w:t>
      </w:r>
      <w:r>
        <w:rPr>
          <w:highlight w:val="yellow"/>
        </w:rPr>
        <w:t>idor (a), MASP</w:t>
      </w:r>
      <w:r>
        <w:rPr>
          <w:color w:val="000000"/>
          <w:highlight w:val="yellow"/>
        </w:rPr>
        <w:t>/Matrícula</w:t>
      </w:r>
      <w:r>
        <w:rPr>
          <w:highlight w:val="yellow"/>
        </w:rPr>
        <w:t>;</w:t>
      </w:r>
      <w:r>
        <w:rPr>
          <w:color w:val="000000"/>
          <w:highlight w:val="yellow"/>
        </w:rPr>
        <w:t xml:space="preserve"> </w:t>
      </w:r>
    </w:p>
    <w:p w14:paraId="1B7724F2" w14:textId="77777777" w:rsidR="00A55EC8" w:rsidRDefault="00A55EC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851"/>
        </w:tabs>
        <w:spacing w:after="0" w:line="360" w:lineRule="auto"/>
        <w:ind w:left="360"/>
        <w:jc w:val="both"/>
        <w:rPr>
          <w:color w:val="000000"/>
          <w:highlight w:val="yellow"/>
        </w:rPr>
      </w:pPr>
    </w:p>
    <w:p w14:paraId="44D108EB" w14:textId="77777777" w:rsidR="00A55EC8" w:rsidRDefault="002355E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851"/>
        </w:tabs>
        <w:spacing w:after="0" w:line="360" w:lineRule="auto"/>
        <w:jc w:val="both"/>
        <w:rPr>
          <w:highlight w:val="yellow"/>
        </w:rPr>
      </w:pPr>
      <w:r>
        <w:rPr>
          <w:highlight w:val="yellow"/>
        </w:rPr>
        <w:t>Pelo (a) Unidade Administrativa: Nome do servidor (a), MASP/Matrícula;</w:t>
      </w:r>
    </w:p>
    <w:p w14:paraId="224FF145" w14:textId="77777777" w:rsidR="00A55EC8" w:rsidRDefault="00A55EC8">
      <w:pPr>
        <w:tabs>
          <w:tab w:val="left" w:pos="851"/>
        </w:tabs>
        <w:spacing w:after="0" w:line="360" w:lineRule="auto"/>
        <w:jc w:val="both"/>
        <w:rPr>
          <w:highlight w:val="yellow"/>
        </w:rPr>
      </w:pPr>
    </w:p>
    <w:p w14:paraId="6FE7ABFF" w14:textId="77777777" w:rsidR="00A55EC8" w:rsidRDefault="002355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851"/>
        </w:tabs>
        <w:spacing w:after="0" w:line="360" w:lineRule="auto"/>
        <w:jc w:val="both"/>
        <w:rPr>
          <w:color w:val="000000"/>
          <w:highlight w:val="yellow"/>
        </w:rPr>
      </w:pPr>
      <w:r>
        <w:rPr>
          <w:highlight w:val="yellow"/>
        </w:rPr>
        <w:t>Pelo (a) Unidade Administrativa: Nome do servidor (a), MASP/Matrícula;</w:t>
      </w:r>
      <w:r>
        <w:rPr>
          <w:color w:val="000000"/>
          <w:highlight w:val="yellow"/>
        </w:rPr>
        <w:t xml:space="preserve"> </w:t>
      </w:r>
    </w:p>
    <w:p w14:paraId="25BE3DDD" w14:textId="77777777" w:rsidR="00A55EC8" w:rsidRDefault="00A55EC8">
      <w:pPr>
        <w:tabs>
          <w:tab w:val="left" w:pos="851"/>
        </w:tabs>
        <w:spacing w:after="0" w:line="360" w:lineRule="auto"/>
        <w:ind w:left="360"/>
        <w:jc w:val="both"/>
        <w:rPr>
          <w:highlight w:val="yellow"/>
        </w:rPr>
      </w:pPr>
    </w:p>
    <w:p w14:paraId="0E58143D" w14:textId="77777777" w:rsidR="00A55EC8" w:rsidRDefault="002355E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851"/>
        </w:tabs>
        <w:spacing w:after="0" w:line="360" w:lineRule="auto"/>
        <w:jc w:val="both"/>
        <w:rPr>
          <w:highlight w:val="yellow"/>
        </w:rPr>
      </w:pPr>
      <w:r>
        <w:rPr>
          <w:highlight w:val="yellow"/>
        </w:rPr>
        <w:t xml:space="preserve">Pelo (a) Unidade Administrativa: Nome do servidor (a), MASP/Matrícula; </w:t>
      </w:r>
      <w:r>
        <w:rPr>
          <w:color w:val="FF0000"/>
          <w:highlight w:val="yellow"/>
        </w:rPr>
        <w:t>e</w:t>
      </w:r>
    </w:p>
    <w:p w14:paraId="640D308A" w14:textId="77777777" w:rsidR="00A55EC8" w:rsidRDefault="00A55EC8">
      <w:pPr>
        <w:tabs>
          <w:tab w:val="left" w:pos="851"/>
        </w:tabs>
        <w:spacing w:after="0" w:line="360" w:lineRule="auto"/>
        <w:ind w:left="360"/>
        <w:jc w:val="both"/>
        <w:rPr>
          <w:highlight w:val="yellow"/>
        </w:rPr>
      </w:pPr>
    </w:p>
    <w:p w14:paraId="690C09CD" w14:textId="77777777" w:rsidR="00A55EC8" w:rsidRDefault="002355E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851"/>
        </w:tabs>
        <w:spacing w:after="0" w:line="360" w:lineRule="auto"/>
        <w:jc w:val="both"/>
        <w:rPr>
          <w:highlight w:val="yellow"/>
        </w:rPr>
      </w:pPr>
      <w:r>
        <w:rPr>
          <w:highlight w:val="yellow"/>
        </w:rPr>
        <w:t>Pelo (a) Unidade Administrativa: Nome do servidor (a), MASP/Matrícula.</w:t>
      </w:r>
    </w:p>
    <w:p w14:paraId="0DE0FE5A" w14:textId="77777777" w:rsidR="00A55EC8" w:rsidRDefault="00A5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851"/>
        </w:tabs>
        <w:spacing w:after="0" w:line="360" w:lineRule="auto"/>
        <w:ind w:left="720"/>
        <w:jc w:val="both"/>
        <w:rPr>
          <w:highlight w:val="green"/>
        </w:rPr>
      </w:pPr>
    </w:p>
    <w:p w14:paraId="0B8A865C" w14:textId="77777777" w:rsidR="00A55EC8" w:rsidRDefault="00A55EC8">
      <w:pPr>
        <w:spacing w:after="0" w:line="360" w:lineRule="auto"/>
        <w:jc w:val="both"/>
      </w:pPr>
    </w:p>
    <w:p w14:paraId="5C512BB8" w14:textId="77777777" w:rsidR="00A55EC8" w:rsidRDefault="002355E1">
      <w:pPr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>Art. 3º</w:t>
      </w:r>
      <w:r>
        <w:rPr>
          <w:color w:val="000000"/>
        </w:rPr>
        <w:t xml:space="preserve"> - </w:t>
      </w:r>
      <w:r>
        <w:t>A</w:t>
      </w:r>
      <w:r>
        <w:rPr>
          <w:color w:val="000000"/>
        </w:rPr>
        <w:t xml:space="preserve"> CPAD/</w:t>
      </w:r>
      <w:r>
        <w:t xml:space="preserve"> </w:t>
      </w:r>
      <w:r>
        <w:rPr>
          <w:color w:val="000000"/>
          <w:highlight w:val="yellow"/>
        </w:rPr>
        <w:t>sigla do Órgão/Entidade</w:t>
      </w:r>
      <w:r>
        <w:t xml:space="preserve"> será presidida pelo membro representante da </w:t>
      </w:r>
      <w:r>
        <w:rPr>
          <w:highlight w:val="yellow"/>
        </w:rPr>
        <w:t>Unidade Administrativa</w:t>
      </w:r>
      <w:r>
        <w:t>.</w:t>
      </w:r>
    </w:p>
    <w:p w14:paraId="310729CE" w14:textId="77777777" w:rsidR="00A55EC8" w:rsidRDefault="00A55EC8">
      <w:pPr>
        <w:spacing w:after="0" w:line="360" w:lineRule="auto"/>
        <w:jc w:val="both"/>
      </w:pPr>
    </w:p>
    <w:p w14:paraId="7ADB9641" w14:textId="77777777" w:rsidR="00A55EC8" w:rsidRDefault="00A55EC8">
      <w:pPr>
        <w:spacing w:after="0" w:line="360" w:lineRule="auto"/>
        <w:jc w:val="both"/>
        <w:rPr>
          <w:color w:val="000000"/>
        </w:rPr>
      </w:pPr>
    </w:p>
    <w:p w14:paraId="55203452" w14:textId="77777777" w:rsidR="00A55EC8" w:rsidRDefault="002355E1">
      <w:pPr>
        <w:spacing w:after="0" w:line="360" w:lineRule="auto"/>
        <w:jc w:val="both"/>
      </w:pPr>
      <w:r>
        <w:rPr>
          <w:b/>
        </w:rPr>
        <w:t>Art. 4º</w:t>
      </w:r>
      <w:r>
        <w:t xml:space="preserve"> - Os membros terão mandato de 02 (dois) anos, podendo ser renovado por mais um período, e serão designados por meio de ato do </w:t>
      </w:r>
      <w:r>
        <w:rPr>
          <w:highlight w:val="yellow"/>
        </w:rPr>
        <w:t>Secretário/Presidente</w:t>
      </w:r>
      <w:r>
        <w:t xml:space="preserve"> </w:t>
      </w:r>
      <w:r>
        <w:rPr>
          <w:highlight w:val="yellow"/>
        </w:rPr>
        <w:t>do/da</w:t>
      </w:r>
      <w:r>
        <w:t xml:space="preserve"> </w:t>
      </w:r>
      <w:r>
        <w:rPr>
          <w:highlight w:val="yellow"/>
        </w:rPr>
        <w:t>Órgão/Entidade</w:t>
      </w:r>
      <w:r>
        <w:t>.</w:t>
      </w:r>
    </w:p>
    <w:p w14:paraId="4F841F9B" w14:textId="58E4E09F" w:rsidR="00A55EC8" w:rsidRDefault="002355E1">
      <w:pPr>
        <w:spacing w:after="0" w:line="360" w:lineRule="auto"/>
        <w:jc w:val="both"/>
      </w:pPr>
      <w:r>
        <w:t xml:space="preserve">§1º - </w:t>
      </w:r>
      <w:r w:rsidR="00D62F97" w:rsidRPr="00D62F97">
        <w:t xml:space="preserve">Os membros poderão ser substituídos a qualquer tempo, mediante publicação, por decisão motivada do titular da pasta ou por solicitação justificada do próprio membro, neste último caso, desde que autorizado pela chefia imediata e dirigente máximo do </w:t>
      </w:r>
      <w:r>
        <w:rPr>
          <w:highlight w:val="yellow"/>
        </w:rPr>
        <w:t>Órgão/Entidade</w:t>
      </w:r>
      <w:r>
        <w:t>.</w:t>
      </w:r>
    </w:p>
    <w:p w14:paraId="1ABD53C7" w14:textId="77777777" w:rsidR="00A55EC8" w:rsidRDefault="002355E1">
      <w:pPr>
        <w:spacing w:after="0"/>
        <w:jc w:val="both"/>
      </w:pPr>
      <w:r>
        <w:t xml:space="preserve">§2º - No caso do desligamento do servidor do </w:t>
      </w:r>
      <w:r>
        <w:rPr>
          <w:highlight w:val="yellow"/>
        </w:rPr>
        <w:t>Órgão/Entidade</w:t>
      </w:r>
      <w:r>
        <w:t xml:space="preserve"> membro da CPAD/</w:t>
      </w:r>
      <w:r>
        <w:rPr>
          <w:highlight w:val="yellow"/>
        </w:rPr>
        <w:t>Sigla do Órgão/Entidade</w:t>
      </w:r>
      <w:r>
        <w:t xml:space="preserve">, o setor de vinculação deverá providenciar a substituição no prazo de 30 dias. </w:t>
      </w:r>
    </w:p>
    <w:p w14:paraId="6C43C44B" w14:textId="77777777" w:rsidR="00A55EC8" w:rsidRDefault="00A55EC8">
      <w:pPr>
        <w:spacing w:after="0" w:line="360" w:lineRule="auto"/>
        <w:jc w:val="both"/>
        <w:rPr>
          <w:b/>
          <w:color w:val="000000"/>
        </w:rPr>
      </w:pPr>
    </w:p>
    <w:p w14:paraId="7ECE6AA0" w14:textId="77777777" w:rsidR="00A55EC8" w:rsidRDefault="002355E1">
      <w:pPr>
        <w:spacing w:after="0" w:line="360" w:lineRule="auto"/>
        <w:jc w:val="both"/>
      </w:pPr>
      <w:r>
        <w:rPr>
          <w:b/>
          <w:color w:val="000000"/>
        </w:rPr>
        <w:t xml:space="preserve">Art. </w:t>
      </w:r>
      <w:r>
        <w:rPr>
          <w:b/>
        </w:rPr>
        <w:t>6</w:t>
      </w:r>
      <w:r>
        <w:rPr>
          <w:b/>
          <w:color w:val="000000"/>
        </w:rPr>
        <w:t>º</w:t>
      </w:r>
      <w:r>
        <w:rPr>
          <w:color w:val="000000"/>
        </w:rPr>
        <w:t xml:space="preserve"> </w:t>
      </w:r>
      <w:r>
        <w:t>- A designação dos servidores para atribuição espe</w:t>
      </w:r>
      <w:r>
        <w:t>cífica de apoio técnico deverá ser providenciada pelo membro representante de cada Unidade Administrativa, observando a estrutura administrativa organizacional.</w:t>
      </w:r>
    </w:p>
    <w:p w14:paraId="4FDD8638" w14:textId="77777777" w:rsidR="00A55EC8" w:rsidRDefault="002355E1">
      <w:pPr>
        <w:spacing w:after="0" w:line="360" w:lineRule="auto"/>
        <w:jc w:val="both"/>
      </w:pPr>
      <w:r>
        <w:rPr>
          <w:b/>
        </w:rPr>
        <w:t>Parágrafo único</w:t>
      </w:r>
      <w:r>
        <w:t xml:space="preserve"> - Deverá o membro representante de cada Unidade Administrativa encaminhar a des</w:t>
      </w:r>
      <w:r>
        <w:t xml:space="preserve">ignação dos indicados para a função de apoio técnico, ao Presidente, no prazo máximo de </w:t>
      </w:r>
      <w:r>
        <w:rPr>
          <w:highlight w:val="yellow"/>
        </w:rPr>
        <w:t>10</w:t>
      </w:r>
      <w:r>
        <w:t xml:space="preserve"> dias corridos da publicação desta </w:t>
      </w:r>
      <w:r>
        <w:rPr>
          <w:highlight w:val="yellow"/>
        </w:rPr>
        <w:t>Resolução/Portaria</w:t>
      </w:r>
      <w:r>
        <w:t>.</w:t>
      </w:r>
    </w:p>
    <w:p w14:paraId="0072E332" w14:textId="77777777" w:rsidR="00A55EC8" w:rsidRDefault="00A55EC8">
      <w:pPr>
        <w:spacing w:after="0" w:line="360" w:lineRule="auto"/>
        <w:jc w:val="both"/>
      </w:pPr>
    </w:p>
    <w:p w14:paraId="5282A844" w14:textId="77777777" w:rsidR="00A55EC8" w:rsidRDefault="002355E1">
      <w:pPr>
        <w:spacing w:after="0"/>
        <w:jc w:val="both"/>
      </w:pPr>
      <w:r>
        <w:t>Art. 5º -</w:t>
      </w:r>
      <w:r>
        <w:rPr>
          <w:sz w:val="24"/>
          <w:szCs w:val="24"/>
        </w:rPr>
        <w:t xml:space="preserve"> </w:t>
      </w:r>
      <w:r>
        <w:t xml:space="preserve">Esta </w:t>
      </w:r>
      <w:r>
        <w:rPr>
          <w:highlight w:val="yellow"/>
        </w:rPr>
        <w:t>Resolução/Portaria</w:t>
      </w:r>
      <w:r>
        <w:t xml:space="preserve"> entra em vigor na data de sua publicação.</w:t>
      </w:r>
    </w:p>
    <w:p w14:paraId="797E0DE5" w14:textId="77777777" w:rsidR="00A55EC8" w:rsidRDefault="00A55EC8">
      <w:pPr>
        <w:spacing w:after="0"/>
        <w:jc w:val="both"/>
        <w:rPr>
          <w:sz w:val="24"/>
          <w:szCs w:val="24"/>
        </w:rPr>
      </w:pPr>
    </w:p>
    <w:p w14:paraId="73E803A6" w14:textId="77777777" w:rsidR="00A55EC8" w:rsidRDefault="002355E1">
      <w:pPr>
        <w:spacing w:after="0"/>
        <w:jc w:val="both"/>
        <w:rPr>
          <w:sz w:val="24"/>
          <w:szCs w:val="24"/>
        </w:rPr>
      </w:pPr>
      <w:r>
        <w:t>Art. 6º - Revogam-se as disposições em contrário.</w:t>
      </w:r>
    </w:p>
    <w:p w14:paraId="26E0E214" w14:textId="77777777" w:rsidR="00A55EC8" w:rsidRDefault="00A55EC8">
      <w:pPr>
        <w:spacing w:after="0" w:line="360" w:lineRule="auto"/>
        <w:jc w:val="both"/>
      </w:pPr>
    </w:p>
    <w:p w14:paraId="1C4DECF7" w14:textId="77777777" w:rsidR="00A55EC8" w:rsidRDefault="002355E1">
      <w:pPr>
        <w:spacing w:after="0" w:line="360" w:lineRule="auto"/>
        <w:jc w:val="center"/>
      </w:pPr>
      <w:r>
        <w:t xml:space="preserve">Belo Horizonte, </w:t>
      </w:r>
      <w:r>
        <w:rPr>
          <w:highlight w:val="yellow"/>
        </w:rPr>
        <w:t>dia</w:t>
      </w:r>
      <w:r>
        <w:t xml:space="preserve"> de </w:t>
      </w:r>
      <w:r>
        <w:rPr>
          <w:highlight w:val="yellow"/>
        </w:rPr>
        <w:t>mês</w:t>
      </w:r>
      <w:r>
        <w:t xml:space="preserve"> de </w:t>
      </w:r>
      <w:r>
        <w:rPr>
          <w:highlight w:val="yellow"/>
        </w:rPr>
        <w:t>ano</w:t>
      </w:r>
      <w:r>
        <w:t>.</w:t>
      </w:r>
    </w:p>
    <w:p w14:paraId="74886F15" w14:textId="77777777" w:rsidR="00A55EC8" w:rsidRDefault="00A55EC8">
      <w:pPr>
        <w:spacing w:after="0" w:line="360" w:lineRule="auto"/>
        <w:jc w:val="center"/>
      </w:pPr>
    </w:p>
    <w:p w14:paraId="311A710A" w14:textId="77777777" w:rsidR="00A55EC8" w:rsidRDefault="002355E1">
      <w:pPr>
        <w:spacing w:after="0" w:line="240" w:lineRule="auto"/>
        <w:jc w:val="center"/>
        <w:rPr>
          <w:b/>
          <w:highlight w:val="yellow"/>
        </w:rPr>
      </w:pPr>
      <w:r>
        <w:rPr>
          <w:b/>
          <w:highlight w:val="yellow"/>
        </w:rPr>
        <w:t>Nome</w:t>
      </w:r>
    </w:p>
    <w:p w14:paraId="5E6F6293" w14:textId="77777777" w:rsidR="00A55EC8" w:rsidRDefault="002355E1">
      <w:pPr>
        <w:spacing w:after="0" w:line="240" w:lineRule="auto"/>
        <w:jc w:val="center"/>
      </w:pPr>
      <w:r>
        <w:rPr>
          <w:highlight w:val="yellow"/>
        </w:rPr>
        <w:t>Secretário/Presidente</w:t>
      </w:r>
      <w:r>
        <w:t xml:space="preserve"> do </w:t>
      </w:r>
      <w:r>
        <w:rPr>
          <w:color w:val="000000"/>
          <w:highlight w:val="yellow"/>
        </w:rPr>
        <w:t>Órgão/Entidade</w:t>
      </w:r>
      <w:r>
        <w:rPr>
          <w:color w:val="000000"/>
          <w:highlight w:val="green"/>
        </w:rPr>
        <w:t xml:space="preserve"> </w:t>
      </w:r>
    </w:p>
    <w:p w14:paraId="7225885A" w14:textId="77777777" w:rsidR="00A55EC8" w:rsidRDefault="00A55EC8">
      <w:pPr>
        <w:spacing w:after="0" w:line="360" w:lineRule="auto"/>
        <w:jc w:val="center"/>
        <w:rPr>
          <w:b/>
          <w:color w:val="000000"/>
        </w:rPr>
      </w:pPr>
    </w:p>
    <w:p w14:paraId="24ECD491" w14:textId="77777777" w:rsidR="00A55EC8" w:rsidRDefault="00A55EC8">
      <w:pPr>
        <w:spacing w:after="0" w:line="360" w:lineRule="auto"/>
        <w:rPr>
          <w:b/>
          <w:color w:val="FF0000"/>
        </w:rPr>
      </w:pPr>
    </w:p>
    <w:sectPr w:rsidR="00A55E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7D8E" w14:textId="77777777" w:rsidR="002355E1" w:rsidRDefault="002355E1">
      <w:pPr>
        <w:spacing w:after="0" w:line="240" w:lineRule="auto"/>
      </w:pPr>
      <w:r>
        <w:separator/>
      </w:r>
    </w:p>
  </w:endnote>
  <w:endnote w:type="continuationSeparator" w:id="0">
    <w:p w14:paraId="56B6E5B8" w14:textId="77777777" w:rsidR="002355E1" w:rsidRDefault="0023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F6FC" w14:textId="77777777" w:rsidR="00A55EC8" w:rsidRDefault="00A55E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9662" w14:textId="77777777" w:rsidR="00A55EC8" w:rsidRDefault="00A55E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E98C" w14:textId="77777777" w:rsidR="00A55EC8" w:rsidRDefault="00A55E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9858D" w14:textId="77777777" w:rsidR="002355E1" w:rsidRDefault="002355E1">
      <w:pPr>
        <w:spacing w:after="0" w:line="240" w:lineRule="auto"/>
      </w:pPr>
      <w:r>
        <w:separator/>
      </w:r>
    </w:p>
  </w:footnote>
  <w:footnote w:type="continuationSeparator" w:id="0">
    <w:p w14:paraId="646E244B" w14:textId="77777777" w:rsidR="002355E1" w:rsidRDefault="00235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4F03" w14:textId="77777777" w:rsidR="00A55EC8" w:rsidRDefault="00A55E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9BA3" w14:textId="77777777" w:rsidR="00A55EC8" w:rsidRDefault="002355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b/>
        <w:color w:val="000000"/>
      </w:rPr>
    </w:pPr>
    <w:r>
      <w:rPr>
        <w:rFonts w:cs="Calibri"/>
        <w:b/>
        <w:color w:val="000000"/>
      </w:rPr>
      <w:object w:dxaOrig="935" w:dyaOrig="913" w14:anchorId="0C1A81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5pt;height:45.75pt">
          <v:imagedata r:id="rId1" o:title=""/>
        </v:shape>
        <o:OLEObject Type="Embed" ProgID="Word.Document.8" ShapeID="_x0000_i1025" DrawAspect="Content" ObjectID="_1768628197" r:id="rId2"/>
      </w:objec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FE64C55" wp14:editId="710B545C">
              <wp:simplePos x="0" y="0"/>
              <wp:positionH relativeFrom="column">
                <wp:posOffset>660400</wp:posOffset>
              </wp:positionH>
              <wp:positionV relativeFrom="paragraph">
                <wp:posOffset>63500</wp:posOffset>
              </wp:positionV>
              <wp:extent cx="3027680" cy="58928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36923" y="3490123"/>
                        <a:ext cx="3018155" cy="579755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AB03472" w14:textId="77777777" w:rsidR="00A55EC8" w:rsidRDefault="002355E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cs="Calibri"/>
                              <w:b/>
                              <w:color w:val="000000"/>
                              <w:sz w:val="26"/>
                            </w:rPr>
                            <w:t>GOVERNO DO ESTADO DE MINAS GERAIS</w:t>
                          </w:r>
                        </w:p>
                        <w:p w14:paraId="34D8F054" w14:textId="77777777" w:rsidR="00A55EC8" w:rsidRDefault="002355E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cs="Calibri"/>
                              <w:b/>
                              <w:color w:val="000000"/>
                              <w:sz w:val="26"/>
                            </w:rPr>
                            <w:t>Órgão/Entidade</w:t>
                          </w:r>
                        </w:p>
                        <w:p w14:paraId="0188841C" w14:textId="77777777" w:rsidR="00A55EC8" w:rsidRDefault="00A55EC8">
                          <w:pPr>
                            <w:spacing w:after="0" w:line="240" w:lineRule="auto"/>
                            <w:textDirection w:val="btLr"/>
                          </w:pPr>
                        </w:p>
                        <w:p w14:paraId="6D40E57C" w14:textId="77777777" w:rsidR="00A55EC8" w:rsidRDefault="00A55EC8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12700" tIns="12700" rIns="12700" bIns="12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660400</wp:posOffset>
              </wp:positionH>
              <wp:positionV relativeFrom="paragraph">
                <wp:posOffset>63500</wp:posOffset>
              </wp:positionV>
              <wp:extent cx="3027680" cy="58928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27680" cy="589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D73B8BF" w14:textId="77777777" w:rsidR="00A55EC8" w:rsidRDefault="00A55E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1CF0" w14:textId="77777777" w:rsidR="00A55EC8" w:rsidRDefault="00A55E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F19"/>
    <w:multiLevelType w:val="multilevel"/>
    <w:tmpl w:val="017062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C8"/>
    <w:rsid w:val="002355E1"/>
    <w:rsid w:val="00A55EC8"/>
    <w:rsid w:val="00D6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B488E"/>
  <w15:docId w15:val="{E1DE5945-446A-4A2C-8C62-1A428336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2C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notadefim">
    <w:name w:val="endnote text"/>
    <w:basedOn w:val="Normal"/>
    <w:link w:val="TextodenotadefimChar"/>
    <w:uiPriority w:val="99"/>
    <w:unhideWhenUsed/>
    <w:rsid w:val="00EE1F2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EE1F2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defim">
    <w:name w:val="endnote reference"/>
    <w:uiPriority w:val="99"/>
    <w:semiHidden/>
    <w:unhideWhenUsed/>
    <w:rsid w:val="00EE1F2C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rsid w:val="00966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66643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B1BB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62F64"/>
    <w:rPr>
      <w:b/>
      <w:bCs/>
    </w:rPr>
  </w:style>
  <w:style w:type="table" w:styleId="Tabelacomgrade">
    <w:name w:val="Table Grid"/>
    <w:basedOn w:val="Tabelanormal"/>
    <w:uiPriority w:val="59"/>
    <w:rsid w:val="0063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43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343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43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343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3435"/>
    <w:rPr>
      <w:rFonts w:ascii="Tahoma" w:eastAsia="Calibri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970074-d657-430c-ae89-a50c38ab4a40">
      <Terms xmlns="http://schemas.microsoft.com/office/infopath/2007/PartnerControls"/>
    </lcf76f155ced4ddcb4097134ff3c332f>
    <TaxCatchAll xmlns="74843ad4-3fd7-4edc-b05c-a61516d76e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99B4FC6913424ABFD85337927A289E" ma:contentTypeVersion="15" ma:contentTypeDescription="Crie um novo documento." ma:contentTypeScope="" ma:versionID="bb7e4c7d4397a2e68e01be891a9a7dca">
  <xsd:schema xmlns:xsd="http://www.w3.org/2001/XMLSchema" xmlns:xs="http://www.w3.org/2001/XMLSchema" xmlns:p="http://schemas.microsoft.com/office/2006/metadata/properties" xmlns:ns2="d5970074-d657-430c-ae89-a50c38ab4a40" xmlns:ns3="74843ad4-3fd7-4edc-b05c-a61516d76e64" targetNamespace="http://schemas.microsoft.com/office/2006/metadata/properties" ma:root="true" ma:fieldsID="fafca5b53184c19c98b40c25f4dcccba" ns2:_="" ns3:_="">
    <xsd:import namespace="d5970074-d657-430c-ae89-a50c38ab4a40"/>
    <xsd:import namespace="74843ad4-3fd7-4edc-b05c-a61516d76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70074-d657-430c-ae89-a50c38ab4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7d32f3-4fa4-4f5b-a8d0-62dbd3d26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43ad4-3fd7-4edc-b05c-a61516d76e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db75ac-a6fc-403a-8a10-c2818206f7b3}" ma:internalName="TaxCatchAll" ma:showField="CatchAllData" ma:web="74843ad4-3fd7-4edc-b05c-a61516d76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JE0z8xiZqgFqo2tA5sQlSpbxkg==">AMUW2mUUvDgtNs7m/tENRxF0gBRNQtQRryJz0qEguP+LcHSkELYGVLlt3PPh9hABNb4TqsxStgUTEpKbs7A2k+/0LQAJhqEp7uEbgCROD4nxpRSx8sMCHG4=</go:docsCustomData>
</go:gDocsCustomXmlDataStorage>
</file>

<file path=customXml/itemProps1.xml><?xml version="1.0" encoding="utf-8"?>
<ds:datastoreItem xmlns:ds="http://schemas.openxmlformats.org/officeDocument/2006/customXml" ds:itemID="{6568FD8A-FD64-4195-80C0-78703274B6D0}">
  <ds:schemaRefs>
    <ds:schemaRef ds:uri="http://schemas.microsoft.com/office/2006/metadata/properties"/>
    <ds:schemaRef ds:uri="http://schemas.microsoft.com/office/infopath/2007/PartnerControls"/>
    <ds:schemaRef ds:uri="d5970074-d657-430c-ae89-a50c38ab4a40"/>
    <ds:schemaRef ds:uri="74843ad4-3fd7-4edc-b05c-a61516d76e64"/>
  </ds:schemaRefs>
</ds:datastoreItem>
</file>

<file path=customXml/itemProps2.xml><?xml version="1.0" encoding="utf-8"?>
<ds:datastoreItem xmlns:ds="http://schemas.openxmlformats.org/officeDocument/2006/customXml" ds:itemID="{A51099AC-E48E-4BF5-96EA-599012AD4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8EB43-1863-4375-9207-CB8CD09B8D98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F. da Silva Corsino</dc:creator>
  <cp:lastModifiedBy>User</cp:lastModifiedBy>
  <cp:revision>2</cp:revision>
  <dcterms:created xsi:type="dcterms:W3CDTF">2018-04-12T15:53:00Z</dcterms:created>
  <dcterms:modified xsi:type="dcterms:W3CDTF">2024-02-05T11:50:00Z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0x0101005B99B4FC6913424ABFD85337927A289E</vt:lpwstr>
  </property>
</Properties>
</file>